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AD831E" w14:textId="77777777" w:rsidR="00167110" w:rsidRDefault="00167110" w:rsidP="00F25085">
      <w:pPr>
        <w:pStyle w:val="Ttulo1"/>
        <w:ind w:left="708" w:hanging="708"/>
      </w:pPr>
    </w:p>
    <w:p w14:paraId="00BC0433" w14:textId="77777777" w:rsidR="008147F4" w:rsidRDefault="008147F4" w:rsidP="00331F42">
      <w:pPr>
        <w:pStyle w:val="Ttulo2"/>
        <w:rPr>
          <w:b/>
          <w:bCs/>
          <w:sz w:val="36"/>
          <w:szCs w:val="36"/>
        </w:rPr>
      </w:pPr>
    </w:p>
    <w:p w14:paraId="68C199BC" w14:textId="399D2FE8" w:rsidR="00331F42" w:rsidRDefault="003A640F" w:rsidP="003A640F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</w:pPr>
      <w:r w:rsidRPr="003A640F"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36"/>
          <w:szCs w:val="36"/>
        </w:rPr>
        <w:t>Agilent descubre la antigua receta del “Grog”</w:t>
      </w:r>
    </w:p>
    <w:p w14:paraId="5E439FBC" w14:textId="77777777" w:rsidR="003A640F" w:rsidRDefault="003A640F" w:rsidP="00331F42">
      <w:pPr>
        <w:jc w:val="center"/>
      </w:pPr>
    </w:p>
    <w:p w14:paraId="70405C95" w14:textId="4FC18396" w:rsidR="003A640F" w:rsidRDefault="003A640F" w:rsidP="003A640F">
      <w:pPr>
        <w:jc w:val="both"/>
        <w:rPr>
          <w:noProof/>
        </w:rPr>
      </w:pPr>
      <w:r>
        <w:rPr>
          <w:noProof/>
        </w:rPr>
        <w:t xml:space="preserve">¿Qué sabemos sobre los antiguos habitantes de la Edad del Hierro del norte de Europa? Si hacemos caso de los relatos griegos y romanos, estas personas eran “bárbaros” groseros e incivilizados. En particular, se daban atracones de bebidas </w:t>
      </w:r>
      <w:r w:rsidR="00C57F7C">
        <w:rPr>
          <w:noProof/>
        </w:rPr>
        <w:t xml:space="preserve">primitivas </w:t>
      </w:r>
      <w:r>
        <w:rPr>
          <w:noProof/>
        </w:rPr>
        <w:t>fermentadas y pasaban gran parte de su tiempo en estado de embriaguez.</w:t>
      </w:r>
    </w:p>
    <w:p w14:paraId="702CBD08" w14:textId="2AB76754" w:rsidR="003A640F" w:rsidRDefault="003A640F" w:rsidP="003A640F">
      <w:pPr>
        <w:jc w:val="both"/>
        <w:rPr>
          <w:noProof/>
        </w:rPr>
      </w:pPr>
      <w:r>
        <w:rPr>
          <w:noProof/>
        </w:rPr>
        <w:t>Pero ¿es realmente precisa esta descripción? No podemos obviar que los griegos y los romanos estaban predispuestos a ver a sus adversarios del norte como seres inferiores.</w:t>
      </w:r>
    </w:p>
    <w:p w14:paraId="7F5CD450" w14:textId="009137DE" w:rsidR="003A640F" w:rsidRDefault="00AD60B3" w:rsidP="003A640F">
      <w:pPr>
        <w:jc w:val="both"/>
        <w:rPr>
          <w:noProof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8A45638" wp14:editId="6B96A518">
            <wp:simplePos x="0" y="0"/>
            <wp:positionH relativeFrom="margin">
              <wp:align>left</wp:align>
            </wp:positionH>
            <wp:positionV relativeFrom="paragraph">
              <wp:posOffset>157480</wp:posOffset>
            </wp:positionV>
            <wp:extent cx="2038350" cy="2038350"/>
            <wp:effectExtent l="152400" t="152400" r="361950" b="361950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20383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A640F">
        <w:rPr>
          <w:noProof/>
        </w:rPr>
        <w:t xml:space="preserve">Un equipo de investigadores estadounidenses decidió averiguarlo estudiando exactamente cuán </w:t>
      </w:r>
      <w:r w:rsidR="00C57F7C">
        <w:rPr>
          <w:noProof/>
        </w:rPr>
        <w:t xml:space="preserve">de </w:t>
      </w:r>
      <w:r w:rsidR="003A640F">
        <w:rPr>
          <w:noProof/>
        </w:rPr>
        <w:t>“primitivas” eran en realidad estas antiguas bebidas nórdicas. Científicos y arqueólogos analizaron residuos de</w:t>
      </w:r>
      <w:r w:rsidR="00C57F7C">
        <w:rPr>
          <w:noProof/>
        </w:rPr>
        <w:t>l interior</w:t>
      </w:r>
      <w:r w:rsidR="003A640F">
        <w:rPr>
          <w:noProof/>
        </w:rPr>
        <w:t xml:space="preserve"> de</w:t>
      </w:r>
      <w:r w:rsidR="00C57F7C">
        <w:rPr>
          <w:noProof/>
        </w:rPr>
        <w:t xml:space="preserve"> las</w:t>
      </w:r>
      <w:r w:rsidR="003A640F">
        <w:rPr>
          <w:noProof/>
        </w:rPr>
        <w:t xml:space="preserve"> vasijas de tumbas en Dinamarca y Suecia que datan del 1500 A.C. hasta el siglo </w:t>
      </w:r>
      <w:r w:rsidR="00C57F7C">
        <w:rPr>
          <w:noProof/>
        </w:rPr>
        <w:t>1</w:t>
      </w:r>
      <w:r w:rsidR="003A640F">
        <w:rPr>
          <w:noProof/>
        </w:rPr>
        <w:t xml:space="preserve"> D.C. </w:t>
      </w:r>
    </w:p>
    <w:p w14:paraId="2749FD5F" w14:textId="77777777" w:rsidR="003A640F" w:rsidRDefault="003A640F" w:rsidP="003A640F">
      <w:pPr>
        <w:jc w:val="both"/>
        <w:rPr>
          <w:noProof/>
        </w:rPr>
      </w:pPr>
      <w:r>
        <w:rPr>
          <w:noProof/>
        </w:rPr>
        <w:t>En su equipo analítico, se incluía un cromatógrafo de gases Agilent, un detector selectivo de masas y una columna.</w:t>
      </w:r>
    </w:p>
    <w:p w14:paraId="5C89E62C" w14:textId="72C6AF5F" w:rsidR="003A640F" w:rsidRDefault="003A640F" w:rsidP="003A640F">
      <w:pPr>
        <w:jc w:val="both"/>
        <w:rPr>
          <w:noProof/>
        </w:rPr>
      </w:pPr>
      <w:r>
        <w:rPr>
          <w:noProof/>
        </w:rPr>
        <w:t xml:space="preserve">En general, se elaboraban “grog” híbridos en los que se mezclaban ingredientes para que fermentaran juntos. Los ingredientes incluían miel, bayas locales y cereales (incluido trigo, centeno y cebada). A veces añadían vino de uva importado del sur de Europa. El sabor adicional provino del enebro, abedul, pino, mirto y milenrama, posiblemente </w:t>
      </w:r>
      <w:r w:rsidR="00E17DC3">
        <w:rPr>
          <w:noProof/>
        </w:rPr>
        <w:t xml:space="preserve">eran </w:t>
      </w:r>
      <w:r>
        <w:rPr>
          <w:noProof/>
        </w:rPr>
        <w:t>agregados cuando se servían las bebidas.</w:t>
      </w:r>
    </w:p>
    <w:p w14:paraId="31501CD2" w14:textId="77777777" w:rsidR="003A640F" w:rsidRDefault="003A640F" w:rsidP="003A640F">
      <w:pPr>
        <w:jc w:val="both"/>
        <w:rPr>
          <w:noProof/>
        </w:rPr>
      </w:pPr>
      <w:r>
        <w:rPr>
          <w:noProof/>
        </w:rPr>
        <w:t>En general, estas personas mostraron innovación y creatividad en sus bebidas fermentadas, a menudo experimentando con una variedad de fuentes naturales de otras áreas. La miel en particular era conocida como un bien escaso y costoso, generalmente reservado para los ricos y poderosos.</w:t>
      </w:r>
    </w:p>
    <w:p w14:paraId="05248D41" w14:textId="4F62443A" w:rsidR="00CC72AC" w:rsidRDefault="003A640F" w:rsidP="003A640F">
      <w:pPr>
        <w:jc w:val="both"/>
        <w:rPr>
          <w:noProof/>
        </w:rPr>
      </w:pPr>
      <w:r>
        <w:rPr>
          <w:noProof/>
        </w:rPr>
        <w:t>En resumen, los investigadores concluyeron que los antiguos nórdicos estaban lejos de ser los bárbaros incivilizados que sus enemigos del sur describían.</w:t>
      </w:r>
    </w:p>
    <w:p w14:paraId="07E05132" w14:textId="77777777" w:rsidR="003A640F" w:rsidRDefault="003A640F" w:rsidP="003A640F">
      <w:pPr>
        <w:jc w:val="both"/>
        <w:rPr>
          <w:noProof/>
        </w:rPr>
      </w:pPr>
    </w:p>
    <w:p w14:paraId="7E9AAFFB" w14:textId="33C2A901" w:rsidR="00167110" w:rsidRPr="00167110" w:rsidRDefault="00662152" w:rsidP="00CC72AC">
      <w:pPr>
        <w:jc w:val="right"/>
        <w:rPr>
          <w:sz w:val="16"/>
          <w:szCs w:val="16"/>
        </w:rPr>
      </w:pPr>
      <w:hyperlink r:id="rId8" w:history="1">
        <w:r w:rsidR="00167110" w:rsidRPr="008147F4">
          <w:rPr>
            <w:rStyle w:val="Hipervnculo"/>
            <w:sz w:val="16"/>
            <w:szCs w:val="16"/>
          </w:rPr>
          <w:t>Fuente blog Agilent</w:t>
        </w:r>
      </w:hyperlink>
    </w:p>
    <w:sectPr w:rsidR="00167110" w:rsidRPr="00167110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69623" w14:textId="77777777" w:rsidR="00662152" w:rsidRDefault="00662152" w:rsidP="00167110">
      <w:pPr>
        <w:spacing w:after="0" w:line="240" w:lineRule="auto"/>
      </w:pPr>
      <w:r>
        <w:separator/>
      </w:r>
    </w:p>
  </w:endnote>
  <w:endnote w:type="continuationSeparator" w:id="0">
    <w:p w14:paraId="13FF6EE9" w14:textId="77777777" w:rsidR="00662152" w:rsidRDefault="00662152" w:rsidP="00167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C8565A" w14:textId="77777777" w:rsidR="00662152" w:rsidRDefault="00662152" w:rsidP="00167110">
      <w:pPr>
        <w:spacing w:after="0" w:line="240" w:lineRule="auto"/>
      </w:pPr>
      <w:r>
        <w:separator/>
      </w:r>
    </w:p>
  </w:footnote>
  <w:footnote w:type="continuationSeparator" w:id="0">
    <w:p w14:paraId="58E9335B" w14:textId="77777777" w:rsidR="00662152" w:rsidRDefault="00662152" w:rsidP="00167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F5BACA" w14:textId="6BB1F947" w:rsidR="00167110" w:rsidRDefault="00167110">
    <w:pPr>
      <w:pStyle w:val="Encabezado"/>
    </w:pPr>
    <w:r>
      <w:rPr>
        <w:noProof/>
      </w:rPr>
      <w:drawing>
        <wp:inline distT="0" distB="0" distL="0" distR="0" wp14:anchorId="25B4F807" wp14:editId="7CB11DC1">
          <wp:extent cx="1390650" cy="341770"/>
          <wp:effectExtent l="0" t="0" r="0" b="127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4414" cy="359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736CCA"/>
    <w:multiLevelType w:val="hybridMultilevel"/>
    <w:tmpl w:val="5132740C"/>
    <w:lvl w:ilvl="0" w:tplc="03F645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4801"/>
    <w:rsid w:val="0002339C"/>
    <w:rsid w:val="0010681A"/>
    <w:rsid w:val="001221AD"/>
    <w:rsid w:val="00167110"/>
    <w:rsid w:val="001C0E29"/>
    <w:rsid w:val="001D4B9C"/>
    <w:rsid w:val="00216EA8"/>
    <w:rsid w:val="00290F94"/>
    <w:rsid w:val="002D7A59"/>
    <w:rsid w:val="0031222C"/>
    <w:rsid w:val="00321AD8"/>
    <w:rsid w:val="00331F42"/>
    <w:rsid w:val="003A640F"/>
    <w:rsid w:val="003C2A6E"/>
    <w:rsid w:val="00556D3B"/>
    <w:rsid w:val="005B0073"/>
    <w:rsid w:val="005B5791"/>
    <w:rsid w:val="00647715"/>
    <w:rsid w:val="00662152"/>
    <w:rsid w:val="006B606F"/>
    <w:rsid w:val="006C4801"/>
    <w:rsid w:val="00746B9E"/>
    <w:rsid w:val="007B1AE0"/>
    <w:rsid w:val="007B2664"/>
    <w:rsid w:val="007D0AA1"/>
    <w:rsid w:val="007E780F"/>
    <w:rsid w:val="0080438B"/>
    <w:rsid w:val="008147F4"/>
    <w:rsid w:val="00871FB3"/>
    <w:rsid w:val="0088658D"/>
    <w:rsid w:val="00917BCD"/>
    <w:rsid w:val="009C6900"/>
    <w:rsid w:val="00AD60B3"/>
    <w:rsid w:val="00B16387"/>
    <w:rsid w:val="00B33EF4"/>
    <w:rsid w:val="00B474CE"/>
    <w:rsid w:val="00C57F7C"/>
    <w:rsid w:val="00CC72AC"/>
    <w:rsid w:val="00CF080C"/>
    <w:rsid w:val="00D26330"/>
    <w:rsid w:val="00E16328"/>
    <w:rsid w:val="00E17DC3"/>
    <w:rsid w:val="00E7692D"/>
    <w:rsid w:val="00E851D8"/>
    <w:rsid w:val="00F25085"/>
    <w:rsid w:val="00F82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EE65A4"/>
  <w15:chartTrackingRefBased/>
  <w15:docId w15:val="{9257CF27-67F3-4613-8F60-F43B29F08C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6C48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331F42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6C480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ipervnculo">
    <w:name w:val="Hyperlink"/>
    <w:basedOn w:val="Fuentedeprrafopredeter"/>
    <w:uiPriority w:val="99"/>
    <w:unhideWhenUsed/>
    <w:rsid w:val="00167110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167110"/>
    <w:rPr>
      <w:color w:val="605E5C"/>
      <w:shd w:val="clear" w:color="auto" w:fill="E1DFDD"/>
    </w:rPr>
  </w:style>
  <w:style w:type="paragraph" w:styleId="Encabezado">
    <w:name w:val="header"/>
    <w:basedOn w:val="Normal"/>
    <w:link w:val="EncabezadoCar"/>
    <w:uiPriority w:val="99"/>
    <w:unhideWhenUsed/>
    <w:rsid w:val="00167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67110"/>
  </w:style>
  <w:style w:type="paragraph" w:styleId="Piedepgina">
    <w:name w:val="footer"/>
    <w:basedOn w:val="Normal"/>
    <w:link w:val="PiedepginaCar"/>
    <w:uiPriority w:val="99"/>
    <w:unhideWhenUsed/>
    <w:rsid w:val="001671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67110"/>
  </w:style>
  <w:style w:type="paragraph" w:styleId="Prrafodelista">
    <w:name w:val="List Paragraph"/>
    <w:basedOn w:val="Normal"/>
    <w:uiPriority w:val="34"/>
    <w:qFormat/>
    <w:rsid w:val="00E851D8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331F42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91456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gilentblog.info/2021/05/01/agilent-descubre-la-antigua-receta-del-grog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295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Eugenia Manovel</dc:creator>
  <cp:keywords/>
  <dc:description/>
  <cp:lastModifiedBy>Eugenia Manovel</cp:lastModifiedBy>
  <cp:revision>5</cp:revision>
  <cp:lastPrinted>2022-02-09T14:21:00Z</cp:lastPrinted>
  <dcterms:created xsi:type="dcterms:W3CDTF">2022-02-09T14:22:00Z</dcterms:created>
  <dcterms:modified xsi:type="dcterms:W3CDTF">2022-02-09T17:57:00Z</dcterms:modified>
</cp:coreProperties>
</file>